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B3" w:rsidRPr="00E860B3" w:rsidRDefault="00E860B3" w:rsidP="00E86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860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Комментарии </w:t>
      </w:r>
    </w:p>
    <w:p w:rsidR="00E860B3" w:rsidRPr="00E860B3" w:rsidRDefault="00E860B3" w:rsidP="00E86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E860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 Единым рекомендациям</w:t>
      </w:r>
      <w:r w:rsidRPr="00E860B3">
        <w:rPr>
          <w:rFonts w:ascii="Times New Roman" w:eastAsia="+mj-ea" w:hAnsi="Times New Roman" w:cs="Times New Roman"/>
          <w:b/>
          <w:bCs/>
          <w:color w:val="FF0000"/>
          <w:kern w:val="24"/>
          <w:sz w:val="32"/>
          <w:szCs w:val="32"/>
          <w:lang w:eastAsia="ar-SA"/>
        </w:rPr>
        <w:t xml:space="preserve"> </w:t>
      </w:r>
      <w:r w:rsidRPr="00E860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по установлению на  федеральном, региональном и местном уровнях систем оплаты труда работников государственных и муниципальных  учреждений</w:t>
      </w:r>
      <w:r w:rsidRPr="00E860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br/>
        <w:t xml:space="preserve"> на 2019 г.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E860B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К разделу </w:t>
      </w:r>
      <w:r w:rsidRPr="00E860B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ar-SA"/>
        </w:rPr>
        <w:t>I</w:t>
      </w:r>
      <w:r w:rsidRPr="00E860B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 «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положения»</w:t>
      </w: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г. утверждены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трехсторонней комиссией по регулированию социально-трудовых отношений, представляющей Правительство Российской Федерации (координатор Т.А.Голикова), Общероссийские объединения работодателей (координатор А.Н.Шохин) и Общероссийские объединения профсоюзов (координатор М.В.Шмаков),</w:t>
      </w:r>
      <w:r w:rsidRPr="00E860B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25 декабря 2018 г.</w:t>
      </w:r>
      <w:r w:rsidRPr="00E860B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12) (далее – Единые рекомендации; РТК).</w:t>
      </w: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Данный раздел по-прежнему содержит положения, связанные с направлением соответствующим профсоюзам (объединениям профсоюзов) проектов законодательных актов, нормативных правовых и иных актов федеральных органов государственной власти,  органов государственной власти субъектов Российской Федерации и органов местного самоуправления    по вопросам организации оплаты труда работников государственных и муниципальных учреждений, а также документов и материалов, необходимых для их обсуждения и формирования заключений.</w:t>
      </w: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обращается внимание на то, что заключения профсоюзов подлежат обязательному рассмотрению указанными органами государственной власти и органами местного самоуправления.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Arial"/>
          <w:b/>
          <w:bCs/>
          <w:sz w:val="28"/>
          <w:szCs w:val="20"/>
          <w:u w:val="single"/>
          <w:lang w:eastAsia="ar-SA"/>
        </w:rPr>
        <w:t xml:space="preserve">К разделу </w:t>
      </w:r>
      <w:r w:rsidRPr="00E860B3">
        <w:rPr>
          <w:rFonts w:ascii="Times New Roman" w:eastAsia="Arial" w:hAnsi="Times New Roman" w:cs="Arial"/>
          <w:b/>
          <w:bCs/>
          <w:sz w:val="28"/>
          <w:szCs w:val="20"/>
          <w:u w:val="single"/>
          <w:lang w:val="en-US" w:eastAsia="ar-SA"/>
        </w:rPr>
        <w:t>II</w:t>
      </w:r>
      <w:r w:rsidRPr="00E860B3">
        <w:rPr>
          <w:rFonts w:ascii="Times New Roman" w:eastAsia="Arial" w:hAnsi="Times New Roman" w:cs="Arial"/>
          <w:b/>
          <w:bCs/>
          <w:sz w:val="28"/>
          <w:szCs w:val="20"/>
          <w:u w:val="single"/>
          <w:lang w:eastAsia="ar-SA"/>
        </w:rPr>
        <w:t xml:space="preserve"> «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Принципы формирования федеральной, региональных и муниципальных систем оплаты труда»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Одним из основных принципов, на основе которых должны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формироваться федеральная, региональные и муниципальные системы оплаты труда, является необходимость соблюдения на всей территории Российской Федерации федеральных законов и иных федеральных нормативных правовых актов. 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>К примеру, обязательным при разработке и совершенствовании систем оплаты труда является формирование фиксированных размеров окладов (должностных окладов), ставок заработной платы, содержание и структура  которых  должна соответствовать определениям, предусмотренным статьей 129 Трудового кодекса РФ (далее – ТК РФ).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отдельным должностям педагогических работников должны учитываться, кроме того,  особенности, содержащиеся в статье 333 ТК РФ, согласно которым формирование месячных фиксированных размеров оплаты труда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должно осуществляться только на основе ставок заработной платы,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устанавливаемых исходя из норм часов педагогической работы, определяемых уполномоченным Правительством РФ органом исполнительной власти в зависимости от должности и (или) специальности педагогических работников с учетом особенностей их труда. </w:t>
      </w:r>
    </w:p>
    <w:p w:rsidR="00E860B3" w:rsidRPr="00E860B3" w:rsidRDefault="00E860B3" w:rsidP="00E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нормы часов педагогической работы за ставку заработной платы определены приказом Минобрнауки России от 22 декабря 2012 г. № 1061 «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зарегистрировано Минюстом России 25 февраля 2015 г., регистрационный №  36204) (далее – приказ Минобрнауки России № 1061) для учителей, воспитателей, преподавателей (за исключением преподавателей, отнесенных к профессорско-преподавательскому составу),  педагогов дополнительного образования и ряда других, предусмотренных в пунктах 2.3-2.8 приложения 1 к указанному приказу.</w:t>
      </w:r>
    </w:p>
    <w:p w:rsidR="00E860B3" w:rsidRPr="00E860B3" w:rsidRDefault="00E860B3" w:rsidP="00E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разработке и принятии приказа Минобрнауки России № 1061сохранение порядка оплаты труда педагогических работников, указанных 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 пунктах 2.3-2.8 приложения 1 к этому приказу, на основе ставок заработной платы обусловлено тем, что размеры ставок заработной платы, устанавливаемые за календарный месяц за норму часов педагогической работы в неделю (в год),  являются расчетными величинами, позволяющими исчислять заработную плату с учетом фактического объема педагогической или учебной (преподавательской) работы, в отличие от окладов или должностных окладов, которые расчетными величинами не являются. 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x-none"/>
        </w:rPr>
        <w:t>Согласно ст. 129 ТК РФ о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>клад (должностной оклад) – это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E860B3" w:rsidRPr="00E860B3" w:rsidRDefault="00E860B3" w:rsidP="00E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x-none"/>
        </w:rPr>
        <w:t>Что касается такой экономической величины, как «стоимость бюджетной образовательной услуги», то она не может использоваться при оплате труда  работников, поскольку  не соответствует определениям, характеризующим в законодательстве о труде понятия: «система оплаты труда», «оклад», «должностной оклад», «тарифная ставка», «ставка заработной платы».</w:t>
      </w:r>
    </w:p>
    <w:p w:rsidR="00E860B3" w:rsidRPr="00E860B3" w:rsidRDefault="00E860B3" w:rsidP="00E860B3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показал анализ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представленной в ЦС Общероссийского Профсоюза образования региональными (межрегиональными) организациями в части используемых при оплате труда учителей, воспитателей ДОУ и преподавателей СПО моделей  систем оплаты труда в настоящее время все большее количество субъектов отказывается от использования порядка оплаты труда на основе стоимости бюджетной образовательной услуги (ученико-часа). </w:t>
      </w:r>
    </w:p>
    <w:p w:rsidR="00E860B3" w:rsidRPr="00E860B3" w:rsidRDefault="00E860B3" w:rsidP="00E86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из 22  субъектов РФ, формирующих в разные периоды времени полностью или частично порядок оплаты труда педагогических работников, в основном учителей,   на основе стоимости бюджетной образовательной услуги, 8 субъектов уже отказались от этого порядка полностью (Брянская область, Московская область, Республика Адыгея, Свердловская область, Забайкальский край, Кемеровская область, Омская область, Иркутская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область.) В Воронежской области в настоящее время эта система оплаты труда  сохранилась лишь в 2,6% учреждений, а в Волгоградской области -  в 2% учреждений. По имеющимся сведениям в 2019 году процесс отказа от такого порядка оплаты труда продолжится в других субъектах РФ.</w:t>
      </w:r>
    </w:p>
    <w:p w:rsidR="00E860B3" w:rsidRPr="00E860B3" w:rsidRDefault="00E860B3" w:rsidP="00E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860B3" w:rsidRPr="00E860B3" w:rsidRDefault="00E860B3" w:rsidP="00E8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B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К разделу </w:t>
      </w:r>
      <w:r w:rsidRPr="00E860B3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t>III</w:t>
      </w:r>
      <w:r w:rsidRPr="00E86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 и условий оплаты труда, регламентируемых</w:t>
      </w:r>
      <w:r w:rsidRPr="00E860B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федеральными законами и иными нормативными правовыми актами</w:t>
      </w:r>
      <w:r w:rsidRPr="00E860B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Pr="00E860B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»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0B3" w:rsidRPr="00E860B3" w:rsidRDefault="00E860B3" w:rsidP="00E8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>Данный раздел предусматривает положения, установленные Трудовым кодексом Российской Федерации, федеральными законами и иными нормативными правовыми актами Российской Федерации, которые  являются обязательными для применения на всей территории Российской Федерации.</w:t>
      </w:r>
    </w:p>
    <w:p w:rsidR="00E860B3" w:rsidRPr="00E860B3" w:rsidRDefault="00E860B3" w:rsidP="00E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 же положения этого раздела, являющиеся обязательными для применения, следует обратить внимание!</w:t>
      </w:r>
    </w:p>
    <w:p w:rsidR="00E860B3" w:rsidRPr="00E860B3" w:rsidRDefault="00E860B3" w:rsidP="00E8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на положения первой части подпункта «а» пункта 5, изложенной в следующей редакции: 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7" w:history="1">
        <w:r w:rsidRPr="00E860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минимальный размер</w:t>
        </w:r>
      </w:hyperlink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оплаты труда (МРОТ), установленный федеральным законом с учетом выводов Конституционного Суда Российской Федерации, изложенных в Постановлении от 7 декабря </w:t>
      </w:r>
      <w:smartTag w:uri="urn:schemas-microsoft-com:office:smarttags" w:element="metricconverter">
        <w:smartTagPr>
          <w:attr w:name="ProductID" w:val="2017 г"/>
        </w:smartTagPr>
        <w:r w:rsidRPr="00E860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2017 г</w:t>
        </w:r>
      </w:smartTag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 38-П»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Обращаем внимание на то, что в данном случае ссылку на выводы  Конституционного Суда Российской Федерации, изложенные в Постановлении от 7 декабря </w:t>
      </w:r>
      <w:smartTag w:uri="urn:schemas-microsoft-com:office:smarttags" w:element="metricconverter">
        <w:smartTagPr>
          <w:attr w:name="ProductID" w:val="2017 г"/>
        </w:smartTagPr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2017 г</w:t>
        </w:r>
      </w:smartTag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>. № 38-П, следует понимать таким образом, что  сам по себе минимальный размер оплаты труда устанавливается федеральным законом путем внесения в часть первую статьи 1 Федерального закона от 19 июня 2000 года № 82-ФЗ "О минимальном размере оплаты труда"  изменений с изложением  ее в новой редакции.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примеру,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 законом от 25 декабря 2018 г. № 481-ФЗ «О внесении изменения в статью 1 Федерального закона "О минимальном размере оплаты труда" минимальный размер оплаты труда с 1 января 2019 года  установлен в сумме 11 280 рублей в месяц.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Таким образом, выводы Конституционного Суда Российской Федерации связаны не с установлением конкретного  минимального размера оплаты труда, а с применением к установленному федеральным законом размеру МРОТ таких гарантий, как  повышенная оплата труда работников, занятых на работах в местностях с особыми климатическими условиями, оплата труда которых осуществляется в размере МРОТ независимо от фактических размеров их окладов (ставок).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Напоминаем, что Конституционный Суд Российской Федерации: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рассмотрел в открытом заседании дело о проверке конституционности положений </w:t>
      </w:r>
      <w:hyperlink r:id="rId8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статьи 129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9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частей первой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hyperlink r:id="rId10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третьей статьи 133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11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частей первой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12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второй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13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третьей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14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четвертой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hyperlink r:id="rId15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одиннадцатой статьи 133.1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Трудового кодекса Российской Федерации.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отметил, что </w:t>
      </w:r>
      <w:hyperlink r:id="rId16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часть третья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133 статьи ТК РФ закрепляет правило, в соответствии с которым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отметил также,  что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до 1 сентября 2007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</w:t>
      </w:r>
      <w:hyperlink r:id="rId17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статья 129 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ТК РФ, которая  действовала в редакции Федерального </w:t>
      </w:r>
      <w:hyperlink r:id="rId18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закона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30 июня 2006 года № 90-ФЗ, содержала </w:t>
      </w:r>
      <w:hyperlink r:id="rId19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часть вторую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которая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определяла минимальный размер оплаты труда (минимальную заработную плату) как устанавливаемый федеральным законом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предусматривала, что в величину минимального размера оплаты труда не включаются компенсационные, стимулирующие и социальные выплаты. Как следствие,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могли быть ниже минимального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размера оплаты труда (</w:t>
      </w:r>
      <w:hyperlink r:id="rId20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часть четвертая статьи 133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Трудового кодекса Российской Федерации в редакции Федерального закона от 30 июня 2006 года № 90-ФЗ).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Было отмечено также, что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данное правовое регулирование было изменено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Федеральным </w:t>
      </w:r>
      <w:hyperlink r:id="rId21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20 апреля 2007 года № 54-ФЗ "О внесении изменений в Федеральный закон "О минимальном размере оплаты труда" и другие законодательные акты Российской Федерации", который наряду с повышением минимального размера оплаты труда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исключил из </w:t>
      </w:r>
      <w:hyperlink r:id="rId22" w:history="1">
        <w:r w:rsidRPr="00E860B3">
          <w:rPr>
            <w:rFonts w:ascii="Times New Roman" w:eastAsia="Arial" w:hAnsi="Times New Roman" w:cs="Times New Roman"/>
            <w:b/>
            <w:sz w:val="28"/>
            <w:szCs w:val="28"/>
            <w:lang w:eastAsia="ar-SA"/>
          </w:rPr>
          <w:t>статьи 129</w:t>
        </w:r>
      </w:hyperlink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ТК РФ определение понятия "минимальная заработная плата" и признал утратившей силу </w:t>
      </w:r>
      <w:hyperlink r:id="rId23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часть четвертую статьи 133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того же Кодекса.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этом Конституционный Суд Российской Федерации в указанном Постановлении определил, что  изменение соответствующих правовых норм не затрагивает других гарантий, предусмотренных трудовым законодательством для работников, остановившись при формировании своих выводов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только на такой гарантии, как повышенная оплата труда работников, занятых на работах в местностях с особыми климатическими условиями.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Отметив различную судебную практику, Конституционный Суд Российской Федерации сформулировал вывод о том, повышенная оплата труда в связи с работой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местностях, не могут включаться в состав минимального размера оплаты труда.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Конституционный Суд Российской Федерации постановил, что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выявленный в  Постановлении конституционно-правовой смысл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положений </w:t>
      </w:r>
      <w:hyperlink r:id="rId24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статьи 129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25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частей первой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hyperlink r:id="rId26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третьей статьи 133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27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частей первой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28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второй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29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третьей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hyperlink r:id="rId30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четвертой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hyperlink r:id="rId31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одиннадцатой статьи 133.1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Трудового кодекса Российской Федерации является общеобязательным, что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исключает любое иное их истолкование в правоприменительной практике.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>При этом федеральный законодатель, как отмечено в Постановлении Конституционного Суда Российской Федерации, правомочен при совершенствовании законодательства в сфере оплаты труда, в том числе на основе выраженных в принятом Постановлении правовых позиций Конституционного Суда Российской Федерации, учесть сложившуюся в системе социального партнерства практику определения тарифной ставки (оклада) первого разряда не ниже величины минимального размера оплаты труда, установленного федеральным законом.</w:t>
      </w:r>
    </w:p>
    <w:p w:rsidR="00E860B3" w:rsidRPr="00E860B3" w:rsidRDefault="00E860B3" w:rsidP="00E860B3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что в данном случае следует действовать в рамках договоренностей, достигнутых при заключении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2018 - 2020 годы, предложив Правительству Российской Федерации подготовить соответствующий законопроект о внесении изменений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Федеральный закон от 19 июня 2000 года № 82-ФЗ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минимальном размере оплаты труда» и соответствующие статьи Т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рудового кодекса Российской Федерации.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Следует также обратить внимание на пункт «в» пункта 5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данного раздела, в котором еще раз дается ссылка на постановление Конституционного Суда Российской Федерации от 7 декабря </w:t>
      </w:r>
      <w:smartTag w:uri="urn:schemas-microsoft-com:office:smarttags" w:element="metricconverter">
        <w:smartTagPr>
          <w:attr w:name="ProductID" w:val="2017 г"/>
        </w:smartTagPr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2017 г</w:t>
        </w:r>
      </w:smartTag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№ 38-П.  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этом случае сформулирован общий порядок применения районных коэффициентов для расчета заработной платы работников организаций, расположенных в местностях с особыми климатическими условиями, а также начисления процентных надбавок к заработной плате работников за стаж работы в указанных местностях, который  обеспечивается с учетом выводов Конституционного Суда Российской Федерации, изложенных в Постановлении от 7 декабря </w:t>
      </w:r>
      <w:smartTag w:uri="urn:schemas-microsoft-com:office:smarttags" w:element="metricconverter">
        <w:smartTagPr>
          <w:attr w:name="ProductID" w:val="2017 г"/>
        </w:smartTagPr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2017 г</w:t>
        </w:r>
      </w:smartTag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№ 38-П, в том числе в случае заключения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органами государственной власти субъектов Российской Федерации,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Федерации.</w:t>
      </w:r>
    </w:p>
    <w:p w:rsidR="00E860B3" w:rsidRPr="00E860B3" w:rsidRDefault="00E860B3" w:rsidP="00E860B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Необходимо также учесть, что размеры оплаты труда работников, занятых на условиях неполного рабочего времени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том числе при работе по совместительству внешнему или внутреннему), размеры окладов (должностных окладов), ставок заработной платы  которых по занимаемым должностям  установлены в размере ниже МРОТ, а иные выплаты, входящие в состав заработной платы, отсутствуют или незначительны, следует исчислять с 1 января 2019 года пропорционально отработанному времени из размера МРОТ, составляющего 11 280  руб. 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>Районные коэффициенты и п</w:t>
      </w:r>
      <w:hyperlink r:id="rId32" w:history="1">
        <w:r w:rsidRPr="00E860B3">
          <w:rPr>
            <w:rFonts w:ascii="Times New Roman" w:eastAsia="Arial" w:hAnsi="Times New Roman" w:cs="Times New Roman"/>
            <w:sz w:val="28"/>
            <w:szCs w:val="28"/>
            <w:lang w:eastAsia="ar-SA"/>
          </w:rPr>
          <w:t>роцентные надбавки</w:t>
        </w:r>
      </w:hyperlink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заработной плате лиц, работающих с неполным рабочим временем в местностях с неблагоприятными природно-климатическими условиями (в районах Крайнего Севера, приравненных к ним местностях, в южных районах Восточной Сибири,  Дальнего Востока,  в высокогорных районах, в пустынных и безводных местностях), начисляются на фактический заработок, исчисленный пропорционально проработанному времени из размера, составляющего 11 280 руб.</w:t>
      </w:r>
      <w:r w:rsidRPr="00E860B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E860B3" w:rsidRPr="00E860B3" w:rsidRDefault="00E860B3" w:rsidP="00E86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Такой порядок исчисления месячной заработной платы в указанных случаях  должен применяться в рамках каждого трудового договора, заключенного о работе  с неполным рабочим временем, в том числе на условиях внутреннего совместительства у того же работодателя в аналогичной или иной должности.</w:t>
      </w:r>
    </w:p>
    <w:p w:rsidR="00E860B3" w:rsidRPr="00E860B3" w:rsidRDefault="00E860B3" w:rsidP="00E86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огласно разделу 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Единых рекомендаций (подпункт «д» п. 5)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по-прежнему </w:t>
      </w:r>
      <w:r w:rsidRPr="00E860B3">
        <w:rPr>
          <w:rFonts w:ascii="Times New Roman" w:eastAsia="Times New Roman" w:hAnsi="Times New Roman" w:cs="Times New Roman"/>
          <w:sz w:val="28"/>
          <w:szCs w:val="24"/>
          <w:lang w:eastAsia="ar-SA"/>
        </w:rPr>
        <w:t>обязательным для применения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государственных и муниципальных учреждениях, в том числе образовательных,</w:t>
      </w:r>
      <w:r w:rsidRPr="00E860B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является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Единый тарифно-квалификационный </w:t>
      </w:r>
      <w:hyperlink r:id="rId33" w:history="1">
        <w:r w:rsidRPr="00E860B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справочник</w:t>
        </w:r>
      </w:hyperlink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и профессий рабочих, </w:t>
      </w:r>
      <w:r w:rsidRPr="00E860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Единый </w:t>
      </w:r>
      <w:r w:rsidRPr="00E860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квалификационный </w:t>
      </w:r>
      <w:hyperlink r:id="rId34" w:history="1">
        <w:r w:rsidRPr="00E860B3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ar-SA"/>
          </w:rPr>
          <w:t>справочник</w:t>
        </w:r>
      </w:hyperlink>
      <w:r w:rsidRPr="00E860B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должностей руководителей,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специалистов и служащих. 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 применении профессиональных стандартов, на которые также дается ссылка в этом разделе, необходимо учитывать разъяснение Минтруда России (письмо от 6 июня 2017 г. № 14-2/10/В-4361), в котором определено, что профессиональный стандарт разрабатывается на вид профессиональной деятельности, а не на должность или профессию. При использовании профессионального стандарта следует принять во внимание, что он описывает профессиональную деятельность, но не стандартизирует должностные обязанности работника, а лишь приводит возможные наименования должностей работников, выполняющих ту или иную обобщенную трудовую функцию. 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Таким образом,  при определении должностных обязанностей работников по-прежнему необходимо применять </w:t>
      </w:r>
      <w:r w:rsidRPr="00E860B3">
        <w:rPr>
          <w:rFonts w:ascii="Times New Roman" w:eastAsia="Arial" w:hAnsi="Times New Roman" w:cs="Arial"/>
          <w:iCs/>
          <w:sz w:val="28"/>
          <w:szCs w:val="28"/>
          <w:lang w:eastAsia="ar-SA"/>
        </w:rPr>
        <w:t>Единый квалификационный справочник должностей руководителей, специалистов и служащих</w:t>
      </w:r>
      <w:r w:rsidRPr="00E860B3">
        <w:rPr>
          <w:rFonts w:ascii="Times New Roman" w:eastAsia="Arial" w:hAnsi="Times New Roman" w:cs="Arial"/>
          <w:iCs/>
          <w:sz w:val="28"/>
          <w:szCs w:val="28"/>
          <w:vertAlign w:val="superscript"/>
          <w:lang w:eastAsia="ar-SA"/>
        </w:rPr>
        <w:footnoteReference w:id="1"/>
      </w:r>
      <w:r w:rsidRPr="00E860B3">
        <w:rPr>
          <w:rFonts w:ascii="Times New Roman" w:eastAsia="Arial" w:hAnsi="Times New Roman" w:cs="Arial"/>
          <w:iCs/>
          <w:sz w:val="28"/>
          <w:szCs w:val="28"/>
          <w:lang w:eastAsia="ar-SA"/>
        </w:rPr>
        <w:t>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 xml:space="preserve">К разделу 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val="en-US" w:eastAsia="ar-SA"/>
        </w:rPr>
        <w:t>IV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«Системы оплаты труда работников государственных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 муниципальных учреждений»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В разделе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IV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следует обратить внимание: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подпункт «а» пункта  7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соответствии с которым установление и изменение (совершенствование) систем оплаты труда работников государственных и муниципальных учреждений осуществляются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 учетом обеспечения в 2019 году уровня заработной платы отдельных категорий работников бюджетной сферы в размерах не ниже уровня, достигнутого в 2018 году при реализации майских 2012 года указов Президента Российской Федерации.</w:t>
      </w:r>
    </w:p>
    <w:p w:rsidR="00E860B3" w:rsidRPr="00E860B3" w:rsidRDefault="00E860B3" w:rsidP="00E860B3">
      <w:pPr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подпункт «ж» пункта 7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соответствии с которым выплата за выполнение работ в выходные и нерабочие праздничные дни 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должна осуществляться с учетом выводов, изложенных в Постановлении Конституционного Суда Российской Федерации от 28 июня </w:t>
      </w:r>
      <w:smartTag w:uri="urn:schemas-microsoft-com:office:smarttags" w:element="metricconverter">
        <w:smartTagPr>
          <w:attr w:name="ProductID" w:val="2018 г"/>
        </w:smartTagPr>
        <w:r w:rsidRPr="00E860B3">
          <w:rPr>
            <w:rFonts w:ascii="Times New Roman" w:eastAsia="Arial" w:hAnsi="Times New Roman" w:cs="Times New Roman"/>
            <w:b/>
            <w:sz w:val="28"/>
            <w:szCs w:val="28"/>
            <w:lang w:eastAsia="ar-SA"/>
          </w:rPr>
          <w:t>2018 г</w:t>
        </w:r>
      </w:smartTag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№ 26-П.</w:t>
      </w: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Конституционный Суд РФ в указанном постановлении изложил свою правовую позицию, связанную с положениями части первой статьи 153 ТК РФ, указав на следующее.</w:t>
      </w: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асть первая ст. 153 Трудового кодекса РФ, 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рассматриваемая в системе действующего правового регулирования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сама по себе не предполагает, что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будет оплачиваться исходя лишь из одной составляющей заработной платы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, т.е. оклада (ставки).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Исходя из этого указанные работники при расчете размера оплаты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выплат, что ведет к недопустимому снижению причитающегося им вознаграждения за труд по сравнению с оплатой за аналогичную работу, выполняемую в обычный рабочий день.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Иное понимание данной нормы приводило бы к утрате реального содержания гарантии повышенной оплаты труда в связи с работой в условиях, отклоняющихся от нормальных, и тем самым - к нарушению конституционного права на вознаграждение за труд без какой бы то ни было дискриминации и права работника на справедливую заработную плату. 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Более того, вопреки конституционному принципу равенства, который в сфере оплаты труда означает не только необходимость обеспечения равной оплаты за труд равной ценности, но и 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недопустимость применения одинаковых правил к работникам, находящимся в разном положении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как если бы   работники, выполнявшие работу в выходной или нерабочий праздничный день (т.е. в условиях, отклоняющихся от нормальных), оказывались бы в худшем положении по сравнению с теми, кто выполнял аналогичную работу в обычный рабочий день (т.е. в нормальных условиях).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Из этого следует, что работники, системы оплаты труда которых не ограничиваются установлением лишь тарифной части заработной платы (оклада, ставки), при выполнении работы в выходной или нерабочий праздничный день фактически приравнивались бы с точки зрения оплаты их труда к лицам, чей труд оплачивается исключительно путем выплаты фиксированного оклада (ставки).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При этом Конституционный Суд РФ указал, что федеральный законодатель, вправе с учетом выраженных в настоящем Постановлении правовых позиций уточнить положения статьи 153 Трудового кодекса РФ, в том числе путем установления иного конкретного способа определения размера повышенной оплаты за работу в выходной или нерабочий праздничный день, с тем чтобы обеспечить такую оплату в большем размере по сравнению с оплатой за аналогичную работу, выполняемую в обычный рабочий день, учитывая при этом, что она представляет собой не только оплату затраченного работником труда, но и компенсацию утраченного им дня отдыха.</w:t>
      </w:r>
    </w:p>
    <w:p w:rsidR="00E860B3" w:rsidRPr="00E860B3" w:rsidRDefault="00E860B3" w:rsidP="00E860B3">
      <w:pPr>
        <w:suppressAutoHyphens/>
        <w:autoSpaceDE w:val="0"/>
        <w:spacing w:after="0" w:line="240" w:lineRule="atLeast"/>
        <w:ind w:firstLine="567"/>
        <w:outlineLvl w:val="0"/>
        <w:rPr>
          <w:rFonts w:ascii="Arial" w:eastAsia="Arial" w:hAnsi="Arial" w:cs="Arial"/>
          <w:b/>
          <w:sz w:val="20"/>
          <w:szCs w:val="20"/>
          <w:u w:val="single"/>
          <w:lang w:eastAsia="ar-SA"/>
        </w:rPr>
      </w:pP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К разделу 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val="en-US" w:eastAsia="ar-SA"/>
        </w:rPr>
        <w:t>V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«Системы оплаты труда работников федеральных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государственных учреждений»</w:t>
      </w:r>
    </w:p>
    <w:p w:rsidR="00E860B3" w:rsidRPr="00E860B3" w:rsidRDefault="00E860B3" w:rsidP="00E860B3">
      <w:pPr>
        <w:suppressAutoHyphens/>
        <w:autoSpaceDE w:val="0"/>
        <w:spacing w:after="0" w:line="240" w:lineRule="atLeast"/>
        <w:ind w:firstLine="720"/>
        <w:jc w:val="both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860B3" w:rsidRPr="00E860B3" w:rsidRDefault="00E860B3" w:rsidP="00E860B3">
      <w:pPr>
        <w:suppressAutoHyphens/>
        <w:autoSpaceDE w:val="0"/>
        <w:spacing w:after="0" w:line="360" w:lineRule="auto"/>
        <w:ind w:firstLine="567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Раздел не претерпел изменений и содержит прежнюю редакцию, описывающую основные принципы формирования систем оплаты труда работников федеральных государственных учреждений, которые </w:t>
      </w:r>
      <w:r w:rsidRPr="00E860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устанавливаются и изменяются учреждениями самостоятельно коллективными договорами, локальными нормативными актами,  как это и предусмотрено ст. 144 ТК РФ.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К р</w:t>
      </w:r>
      <w:r w:rsidRPr="00E860B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азделу VI «</w:t>
      </w:r>
      <w:r w:rsidRPr="00E860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Системы оплаты труда руководителей государственных и муниципальных учреждений, их заместителей и главных бухгалтеров»</w:t>
      </w:r>
    </w:p>
    <w:p w:rsidR="00E860B3" w:rsidRPr="00E860B3" w:rsidRDefault="00E860B3" w:rsidP="00E860B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860B3" w:rsidRPr="00E860B3" w:rsidRDefault="00E860B3" w:rsidP="00E86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</w:t>
      </w:r>
      <w:r w:rsidRPr="00E860B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азделе VI необходимо обратить внимание на уточнение пункта 24</w:t>
      </w:r>
      <w:r w:rsidRPr="00E860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 соответствии с которым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качестве показателя оценки результативности работы руководителя учреждения  наряду с  показателем роста средней заработной платы работников учреждения в отчетном году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сравнению с предшествующим годом без учета повышения размера заработной платы в соответствии с решениями вышестоящих органов предусматривается  такой показатель, как </w:t>
      </w:r>
      <w:r w:rsidRPr="00E860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E860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выполнение квоты по приему на работу инвалидов (в соответствии с законодательством Российской Федерации)». </w:t>
      </w:r>
    </w:p>
    <w:p w:rsidR="00E860B3" w:rsidRPr="00E860B3" w:rsidRDefault="00E860B3" w:rsidP="00E860B3">
      <w:pPr>
        <w:tabs>
          <w:tab w:val="left" w:pos="326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этим следует учесть, что в соответствии со статьей 21 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Федерального закона от 24 ноября 1995 г. № 181-ФЗ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ред. Федерального закона от 02.07.2013 N 183-ФЗ)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социальной защите инвалидов в Российской Федерации» р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аботодателям, численность работников которых </w:t>
      </w:r>
      <w:r w:rsidRPr="00E860B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превышает 100 человек,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законодательством субъекта Российской Федерации </w:t>
      </w:r>
      <w:r w:rsidRPr="00E860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устанавливается квота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</w:t>
      </w:r>
      <w:r w:rsidRPr="00E860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может устанавливаться</w:t>
      </w:r>
      <w:r w:rsidRPr="00E860B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квота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для приема на работу инвалидов в размере не выше 3 процентов среднесписочной численности работников.</w:t>
      </w:r>
    </w:p>
    <w:p w:rsidR="00E860B3" w:rsidRPr="00E860B3" w:rsidRDefault="00E860B3" w:rsidP="00E860B3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Необходимо также иметь в  виду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что частями 1и 2  статьи 5.42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ред. Федерального </w:t>
      </w:r>
      <w:hyperlink r:id="rId35" w:history="1">
        <w:r w:rsidRPr="00E860B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23.02.2013 N 11-ФЗ) 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одекса Российской Федерации от 30 декабря 2001 г. № 195-ФЗ «Об административных правонарушениях» предусмотрено, что:</w:t>
      </w:r>
    </w:p>
    <w:p w:rsidR="00E860B3" w:rsidRPr="00E860B3" w:rsidRDefault="00E860B3" w:rsidP="00E860B3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«1. Неисполнение работодателем обязанности по созданию или выделению рабочих мест для трудоустройства инвалидов в соответствии с установленной </w:t>
      </w:r>
      <w:hyperlink r:id="rId36" w:history="1">
        <w:r w:rsidRPr="00E860B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квотой</w:t>
        </w:r>
      </w:hyperlink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приема на работу инвалидов, а также </w:t>
      </w:r>
      <w:hyperlink r:id="rId37" w:history="1">
        <w:r w:rsidRPr="00E860B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отказ</w:t>
        </w:r>
      </w:hyperlink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работодателя в приеме на работу инвалида в пределах установленной квоты -  влечет наложение административного штрафа на должностных лиц в размере от пяти тысяч до десяти тысяч рублей.</w:t>
      </w:r>
    </w:p>
    <w:p w:rsidR="00E860B3" w:rsidRPr="00E860B3" w:rsidRDefault="00E860B3" w:rsidP="00E860B3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Необоснованный отказ в регистрации инвалида в качестве безработного - влечет наложение административного штрафа на должностных лиц в размере от пяти тысяч до десяти тысяч рублей.»</w:t>
      </w:r>
    </w:p>
    <w:p w:rsidR="00E860B3" w:rsidRPr="00E860B3" w:rsidRDefault="00E860B3" w:rsidP="00E860B3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ind w:firstLine="567"/>
        <w:jc w:val="both"/>
        <w:outlineLvl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Разделы: 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VII «Формирование фондов оплаты труда в государственных и муниципальных учреждениях» и </w:t>
      </w:r>
      <w:r w:rsidRPr="00E860B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860B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VIII «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Системы оплаты труда работников государственных учреждений субъектов Российской Федерации и муниципальных учреждений» </w:t>
      </w:r>
      <w:r w:rsidRPr="00E86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изложены в прежней редакции.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ind w:left="567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К разделу </w:t>
      </w:r>
      <w:r w:rsidRPr="00E860B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 w:eastAsia="ar-SA"/>
        </w:rPr>
        <w:t>IX</w:t>
      </w:r>
      <w:r w:rsidRPr="00E860B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«</w:t>
      </w: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Особенности формирования систем оплаты труда</w:t>
      </w:r>
    </w:p>
    <w:p w:rsidR="00E860B3" w:rsidRPr="00E860B3" w:rsidRDefault="00E860B3" w:rsidP="00E860B3">
      <w:pPr>
        <w:tabs>
          <w:tab w:val="left" w:pos="9923"/>
        </w:tabs>
        <w:suppressAutoHyphens/>
        <w:autoSpaceDE w:val="0"/>
        <w:spacing w:after="0" w:line="360" w:lineRule="atLeast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860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работников сферы образования»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Органам государственной власти субъектов Российской Федерации,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2019 году необходимо:</w:t>
      </w:r>
    </w:p>
    <w:p w:rsidR="00E860B3" w:rsidRPr="00E860B3" w:rsidRDefault="00E860B3" w:rsidP="00E860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допускать снижения уровня заработной платы работников образовательных учреждений, в том числе педагогических работников, достигнутого в 2018 году и определяемого на основе статистических данных Федеральной службы государственной статистики.</w:t>
      </w:r>
    </w:p>
    <w:p w:rsidR="00E860B3" w:rsidRPr="00E860B3" w:rsidRDefault="00E860B3" w:rsidP="00E860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обратить внимание на уточнение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порядка перераспределения средств, предназначенных на оплату труда в образовательных организациях, в соответствии с которым 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совершенствование систем оплаты труда педагогических и иных работников рекомендуется осуществлять путем 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перераспределения средств, предназначенных на оплату труда в организациях так, чтобы на установление размеров окладов (должностных окладов), ставок заработной платы работников направлялось не менее 70 процентов фонда оплаты труда организации </w:t>
      </w:r>
      <w:r w:rsidRPr="00E860B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(без учета части средств фонда оплаты труда, предназначенных на оплату труда в местностях с особыми климатическими условиями, средств фонда оплаты труда, направляемого на выплаты компенсационного характера, связанные с работой в сельской местности, а также в организациях, в которых  за специфику работы выплаты компенсационного характера предусмотрены по двум и более основаниям);</w:t>
      </w:r>
    </w:p>
    <w:p w:rsidR="00E860B3" w:rsidRPr="00E860B3" w:rsidRDefault="00E860B3" w:rsidP="00E860B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о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беспечить формирование систем оплаты труда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стимулирующего характера </w:t>
      </w:r>
      <w:r w:rsidRPr="00E860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 учетом Методических рекомендаций по формированию системы оплаты труда работников общеобразовательных организаций</w:t>
      </w:r>
      <w:r w:rsidRPr="00E860B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направленных руководителям органов исполнительной власти субъектов Российской Федерации, осуществляющих государственное управление в сфере образования (письмо Минобрнауки России от 29 декабря 2017 года № ВП-1992/02).</w:t>
      </w:r>
    </w:p>
    <w:p w:rsidR="00E860B3" w:rsidRPr="00E860B3" w:rsidRDefault="00E860B3" w:rsidP="00E860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учесть, что </w:t>
      </w:r>
      <w:r w:rsidRPr="00E860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целях обеспечения равной оплаты за труд равной ценности педагогическим работникам, 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поименованным в пунктах 2.3 – 2.8 приложения 1 к приказу № 1601, выполняющим с их письменного согласия педагогическую работу или учебную (преподавательскую) работу сверх установленной нормы часов в неделю (в год) за ставку заработной платы либо ниже установленной нормы часов в неделю (в год) за ставку заработной платы, следует исчислять оплату за фактический объем педагогической или учебной (преподавательской) работы:</w:t>
      </w:r>
      <w:r w:rsidRPr="00E860B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E860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860B3" w:rsidRPr="00E860B3" w:rsidRDefault="00E860B3" w:rsidP="00E860B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путем умножения размеров ставок заработной платы, установленных  за календарный месяц по квалификационному уровню ПКГ 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без  применения к ним каких-либо повышающих коэффициентов 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 (или)    повышений, устанавливаемых в процентах (в абсолютных величинах) за   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квалификационные категории или по иным основаниям 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на фактический объем учебной нагрузки</w:t>
      </w:r>
      <w:r w:rsidRPr="00E860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(педагогической работы) в неделю и деления полученного произведения на норму часов преподавательской или педагогической работы в неделю, установленную за ставку заработной платы</w:t>
      </w:r>
    </w:p>
    <w:p w:rsidR="00E860B3" w:rsidRPr="00E860B3" w:rsidRDefault="00E860B3" w:rsidP="00E860B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преподавателей СПО, для которых установлена норма часов педагогической работы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платы, установленной по квалификационному уровню ПКГ </w:t>
      </w:r>
      <w:r w:rsidRPr="00E860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без  применения к ней каких-либо повышающих коэффициентов, </w:t>
      </w:r>
      <w:r w:rsidRPr="00E860B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среднемесячную норму учебной нагрузки (72 часа)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B3" w:rsidRPr="00E860B3" w:rsidRDefault="00E860B3" w:rsidP="00E86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E860B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_______________________________________</w:t>
      </w:r>
    </w:p>
    <w:p w:rsidR="00E860B3" w:rsidRPr="00E860B3" w:rsidRDefault="00E860B3" w:rsidP="00E86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Комментарий подготовлен экспертом отдела по вопросам общего образования Общероссийского Профсоюза образования В.Н.Понкратовой </w:t>
      </w: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860B3" w:rsidRPr="00E860B3" w:rsidRDefault="00E860B3" w:rsidP="00E860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CFB" w:rsidRDefault="00E860B3">
      <w:bookmarkStart w:id="0" w:name="_GoBack"/>
      <w:bookmarkEnd w:id="0"/>
    </w:p>
    <w:sectPr w:rsidR="009F7CFB" w:rsidSect="004E5444">
      <w:footerReference w:type="even" r:id="rId38"/>
      <w:footerReference w:type="default" r:id="rId39"/>
      <w:pgSz w:w="11905" w:h="16837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B3" w:rsidRDefault="00E860B3" w:rsidP="00E860B3">
      <w:pPr>
        <w:spacing w:after="0" w:line="240" w:lineRule="auto"/>
      </w:pPr>
      <w:r>
        <w:separator/>
      </w:r>
    </w:p>
  </w:endnote>
  <w:endnote w:type="continuationSeparator" w:id="0">
    <w:p w:rsidR="00E860B3" w:rsidRDefault="00E860B3" w:rsidP="00E8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63" w:rsidRDefault="00E860B3" w:rsidP="00C46D0D">
    <w:pPr>
      <w:pStyle w:val="a5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7063" w:rsidRDefault="00E860B3" w:rsidP="00C46D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63" w:rsidRDefault="00E860B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67063" w:rsidRDefault="00E860B3" w:rsidP="00C46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B3" w:rsidRDefault="00E860B3" w:rsidP="00E860B3">
      <w:pPr>
        <w:spacing w:after="0" w:line="240" w:lineRule="auto"/>
      </w:pPr>
      <w:r>
        <w:separator/>
      </w:r>
    </w:p>
  </w:footnote>
  <w:footnote w:type="continuationSeparator" w:id="0">
    <w:p w:rsidR="00E860B3" w:rsidRDefault="00E860B3" w:rsidP="00E860B3">
      <w:pPr>
        <w:spacing w:after="0" w:line="240" w:lineRule="auto"/>
      </w:pPr>
      <w:r>
        <w:continuationSeparator/>
      </w:r>
    </w:p>
  </w:footnote>
  <w:footnote w:id="1">
    <w:p w:rsidR="00E860B3" w:rsidRPr="00C04E3F" w:rsidRDefault="00E860B3" w:rsidP="00E860B3">
      <w:pPr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301076">
        <w:t xml:space="preserve"> </w:t>
      </w:r>
      <w:r w:rsidRPr="00C04E3F">
        <w:rPr>
          <w:sz w:val="20"/>
          <w:szCs w:val="20"/>
        </w:rPr>
        <w:t>Приказ Министерства здравоохранения и социального развития Российской Федерации от 26 августа 2010 г. №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</w:t>
      </w:r>
      <w:r w:rsidRPr="00C04E3F">
        <w:rPr>
          <w:b/>
          <w:sz w:val="20"/>
          <w:szCs w:val="20"/>
        </w:rPr>
        <w:t xml:space="preserve"> </w:t>
      </w:r>
      <w:r w:rsidRPr="00C04E3F">
        <w:rPr>
          <w:sz w:val="20"/>
          <w:szCs w:val="20"/>
        </w:rPr>
        <w:t>октября 2010 г., регистрационный № 18638) с изменением, внесенным приказом Министерства здравоохранения и социального развития Российской Федерации от 31 мая 2011 г. № 448н (зарегистрирован Министерством юстиции Российской Федерации 1 июля 2011 г., регистрационный № 21240).</w:t>
      </w:r>
      <w:r w:rsidRPr="00C04E3F">
        <w:rPr>
          <w:b/>
          <w:sz w:val="20"/>
          <w:szCs w:val="20"/>
        </w:rPr>
        <w:t xml:space="preserve"> </w:t>
      </w:r>
      <w:r w:rsidRPr="00C04E3F">
        <w:rPr>
          <w:sz w:val="20"/>
          <w:szCs w:val="20"/>
        </w:rPr>
        <w:t>Приказ Министерства здравоохранения и социального развития РФ от 11 января 2011 г. № 1н «Об утверждении Единого квалификационного справочника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в Минюсте России 23 марта 2011 г., регистрационный № 20237)</w:t>
      </w:r>
    </w:p>
    <w:p w:rsidR="00E860B3" w:rsidRPr="00C04E3F" w:rsidRDefault="00E860B3" w:rsidP="00E860B3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</w:p>
    <w:p w:rsidR="00E860B3" w:rsidRDefault="00E860B3" w:rsidP="00E860B3">
      <w:pPr>
        <w:pStyle w:val="a7"/>
      </w:pPr>
    </w:p>
    <w:p w:rsidR="00E860B3" w:rsidRDefault="00E860B3" w:rsidP="00E860B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F2E"/>
    <w:multiLevelType w:val="hybridMultilevel"/>
    <w:tmpl w:val="AC3E6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3"/>
    <w:rsid w:val="009A5502"/>
    <w:rsid w:val="00E860B3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25F8-F1C8-498C-AFAD-89242614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60B3"/>
  </w:style>
  <w:style w:type="character" w:styleId="a4">
    <w:name w:val="footnote reference"/>
    <w:uiPriority w:val="99"/>
    <w:rsid w:val="00E860B3"/>
    <w:rPr>
      <w:vertAlign w:val="superscript"/>
    </w:rPr>
  </w:style>
  <w:style w:type="paragraph" w:styleId="a5">
    <w:name w:val="footer"/>
    <w:basedOn w:val="a"/>
    <w:link w:val="a6"/>
    <w:uiPriority w:val="99"/>
    <w:rsid w:val="00E860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E86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860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footnote text"/>
    <w:basedOn w:val="a"/>
    <w:link w:val="a8"/>
    <w:uiPriority w:val="99"/>
    <w:rsid w:val="00E860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E860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EB270FB0430D1F73008D0B1828B391801D629396155C32C4060E00DC12088CA1FCC327264kEE5L" TargetMode="External"/><Relationship Id="rId13" Type="http://schemas.openxmlformats.org/officeDocument/2006/relationships/hyperlink" Target="consultantplus://offline/ref=2B7CAD30981B19646335210B6CCC01A86EB270FB0430D1F73008D0B1828B391801D6293E6656CB734575F155CD2097D51ED22E7065ECkEEFL" TargetMode="External"/><Relationship Id="rId18" Type="http://schemas.openxmlformats.org/officeDocument/2006/relationships/hyperlink" Target="consultantplus://offline/ref=2B7CAD30981B19646335210B6CCC01A86CB576FF0631D1F73008D0B1828B391813D671326352D679113AB700C1k2E9L" TargetMode="External"/><Relationship Id="rId26" Type="http://schemas.openxmlformats.org/officeDocument/2006/relationships/hyperlink" Target="consultantplus://offline/ref=2B7CAD30981B19646335210B6CCC01A86EB270FB0430D1F73008D0B1828B391801D6293E6657C0734575F155CD2097D51ED22E7065ECkEEF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7CAD30981B19646335210B6CCC01A86BBB76F900388CFD3851DCB38584661D06C7293E634DC9780F26B501kCE8L" TargetMode="External"/><Relationship Id="rId34" Type="http://schemas.openxmlformats.org/officeDocument/2006/relationships/hyperlink" Target="consultantplus://offline/ref=8CA6BC37AB1B30FB18C18EE98A8C47D188587A8841ACA4DA04BA26FEq3W8H" TargetMode="External"/><Relationship Id="rId7" Type="http://schemas.openxmlformats.org/officeDocument/2006/relationships/hyperlink" Target="consultantplus://offline/ref=738AD2AA474B988F7EC26E3F6DBFCE781A25896824A4D063D05C38F0B33D84ADCBCDE79943DE45OBO2M" TargetMode="External"/><Relationship Id="rId12" Type="http://schemas.openxmlformats.org/officeDocument/2006/relationships/hyperlink" Target="consultantplus://offline/ref=2B7CAD30981B19646335210B6CCC01A86EB270FB0430D1F73008D0B1828B391801D6293E6656CA734575F155CD2097D51ED22E7065ECkEEFL" TargetMode="External"/><Relationship Id="rId17" Type="http://schemas.openxmlformats.org/officeDocument/2006/relationships/hyperlink" Target="consultantplus://offline/ref=2B7CAD30981B19646335210B6CCC01A86EB270FB0430D1F73008D0B1828B391801D629396154C32C4060E00DC12088CA1FCC327264kEE5L" TargetMode="External"/><Relationship Id="rId25" Type="http://schemas.openxmlformats.org/officeDocument/2006/relationships/hyperlink" Target="consultantplus://offline/ref=2B7CAD30981B19646335210B6CCC01A86EB270FB0430D1F73008D0B1828B391801D6293E6657CC734575F155CD2097D51ED22E7065ECkEEFL" TargetMode="External"/><Relationship Id="rId33" Type="http://schemas.openxmlformats.org/officeDocument/2006/relationships/hyperlink" Target="consultantplus://offline/ref=8CA6BC37AB1B30FB18C18EE98A8C47D1885D708F4EACA4DA04BA26FEq3W8H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7CAD30981B19646335210B6CCC01A86EB270FB0430D1F73008D0B1828B391801D6293E6657C0734575F155CD2097D51ED22E7065ECkEEFL" TargetMode="External"/><Relationship Id="rId20" Type="http://schemas.openxmlformats.org/officeDocument/2006/relationships/hyperlink" Target="consultantplus://offline/ref=2B7CAD30981B19646335210B6CCC01A86BB774F902388CFD3851DCB38584660F069F223A61589C295571B801C13F97CB01D03073k6EDL" TargetMode="External"/><Relationship Id="rId29" Type="http://schemas.openxmlformats.org/officeDocument/2006/relationships/hyperlink" Target="consultantplus://offline/ref=2B7CAD30981B19646335210B6CCC01A86EB270FB0430D1F73008D0B1828B391801D6293E6656CB734575F155CD2097D51ED22E7065ECkEEF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7CAD30981B19646335210B6CCC01A86EB270FB0430D1F73008D0B1828B391801D6293E6656C9734575F155CD2097D51ED22E7065ECkEEFL" TargetMode="External"/><Relationship Id="rId24" Type="http://schemas.openxmlformats.org/officeDocument/2006/relationships/hyperlink" Target="consultantplus://offline/ref=2B7CAD30981B19646335210B6CCC01A86EB270FB0430D1F73008D0B1828B391801D629396155C32C4060E00DC12088CA1FCC327264kEE5L" TargetMode="External"/><Relationship Id="rId32" Type="http://schemas.openxmlformats.org/officeDocument/2006/relationships/hyperlink" Target="consultantplus://offline/ref=20E8078963F8426B3AE49777E01EBA4B038C1551CF37B3E729EE5EC57645DF0EBA23EC6070A53B38x0QDJ" TargetMode="External"/><Relationship Id="rId37" Type="http://schemas.openxmlformats.org/officeDocument/2006/relationships/hyperlink" Target="consultantplus://offline/ref=83C9FCB2FB34EFE31A262742C9B8C88D48E983ECD8CD6C76A195DC61721CC79AA68BF7D55CA390B1D3C8E4B09E014018112ACB25695F40A9N228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7CAD30981B19646335210B6CCC01A86EB270FB0430D1F73008D0B1828B391801D6293E6655CC734575F155CD2097D51ED22E7065ECkEEFL" TargetMode="External"/><Relationship Id="rId23" Type="http://schemas.openxmlformats.org/officeDocument/2006/relationships/hyperlink" Target="consultantplus://offline/ref=2B7CAD30981B19646335210B6CCC01A86BB774F902388CFD3851DCB38584660F069F223A61589C295571B801C13F97CB01D03073k6EDL" TargetMode="External"/><Relationship Id="rId28" Type="http://schemas.openxmlformats.org/officeDocument/2006/relationships/hyperlink" Target="consultantplus://offline/ref=2B7CAD30981B19646335210B6CCC01A86EB270FB0430D1F73008D0B1828B391801D6293E6656CA734575F155CD2097D51ED22E7065ECkEEFL" TargetMode="External"/><Relationship Id="rId36" Type="http://schemas.openxmlformats.org/officeDocument/2006/relationships/hyperlink" Target="consultantplus://offline/ref=83C9FCB2FB34EFE31A262742C9B8C88D48E984EBDDC96C76A195DC61721CC79AA68BF7D55AA29FE28287E5ECDB555318102AC82576N525H" TargetMode="External"/><Relationship Id="rId10" Type="http://schemas.openxmlformats.org/officeDocument/2006/relationships/hyperlink" Target="consultantplus://offline/ref=2B7CAD30981B19646335210B6CCC01A86EB270FB0430D1F73008D0B1828B391801D6293E6657C0734575F155CD2097D51ED22E7065ECkEEFL" TargetMode="External"/><Relationship Id="rId19" Type="http://schemas.openxmlformats.org/officeDocument/2006/relationships/hyperlink" Target="consultantplus://offline/ref=2B7CAD30981B19646335210B6CCC01A86BB774F902388CFD3851DCB38584660F069F223C6A589C295571B801C13F97CB01D03073k6EDL" TargetMode="External"/><Relationship Id="rId31" Type="http://schemas.openxmlformats.org/officeDocument/2006/relationships/hyperlink" Target="consultantplus://offline/ref=2B7CAD30981B19646335210B6CCC01A86EB270FB0430D1F73008D0B1828B391801D6293E6655CC734575F155CD2097D51ED22E7065ECkEE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CAD30981B19646335210B6CCC01A86EB270FB0430D1F73008D0B1828B391801D6293E6657CC734575F155CD2097D51ED22E7065ECkEEFL" TargetMode="External"/><Relationship Id="rId14" Type="http://schemas.openxmlformats.org/officeDocument/2006/relationships/hyperlink" Target="consultantplus://offline/ref=2B7CAD30981B19646335210B6CCC01A86EB270FB0430D1F73008D0B1828B391801D6293E6656CC734575F155CD2097D51ED22E7065ECkEEFL" TargetMode="External"/><Relationship Id="rId22" Type="http://schemas.openxmlformats.org/officeDocument/2006/relationships/hyperlink" Target="consultantplus://offline/ref=2B7CAD30981B19646335210B6CCC01A86EB270FB0430D1F73008D0B1828B391801D629396155C32C4060E00DC12088CA1FCC327264kEE5L" TargetMode="External"/><Relationship Id="rId27" Type="http://schemas.openxmlformats.org/officeDocument/2006/relationships/hyperlink" Target="consultantplus://offline/ref=2B7CAD30981B19646335210B6CCC01A86EB270FB0430D1F73008D0B1828B391801D6293E6656C9734575F155CD2097D51ED22E7065ECkEEFL" TargetMode="External"/><Relationship Id="rId30" Type="http://schemas.openxmlformats.org/officeDocument/2006/relationships/hyperlink" Target="consultantplus://offline/ref=2B7CAD30981B19646335210B6CCC01A86EB270FB0430D1F73008D0B1828B391801D6293E6656CC734575F155CD2097D51ED22E7065ECkEEFL" TargetMode="External"/><Relationship Id="rId35" Type="http://schemas.openxmlformats.org/officeDocument/2006/relationships/hyperlink" Target="consultantplus://offline/ref=83C9FCB2FB34EFE31A262742C9B8C88D4AED85E8DECC6C76A195DC61721CC79AA68BF7D55CA394B7D2C8E4B09E014018112ACB25695F40A9N2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2019-01-14T10:25:00Z</dcterms:created>
  <dcterms:modified xsi:type="dcterms:W3CDTF">2019-01-14T10:26:00Z</dcterms:modified>
</cp:coreProperties>
</file>