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ЗАКОН ИВАНОВСКОЙ ОБЛАСТИ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О СОЦИАЛЬНОМ ПАРТНЕРСТВЕ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(в ред. Законов Ивановской области</w:t>
      </w:r>
      <w:proofErr w:type="gramEnd"/>
    </w:p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от 18.12.2001 </w:t>
      </w:r>
      <w:hyperlink r:id="rId5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N 85-ОЗ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, от 20.05.2004 </w:t>
      </w:r>
      <w:hyperlink r:id="rId6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N 53-ОЗ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,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center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от 29.12.2010 </w:t>
      </w:r>
      <w:hyperlink r:id="rId7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N 160-ОЗ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)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right"/>
        <w:rPr>
          <w:rFonts w:ascii="Times" w:eastAsia="Times New Roman" w:hAnsi="Times" w:cs="Times"/>
          <w:sz w:val="21"/>
          <w:szCs w:val="21"/>
          <w:lang w:eastAsia="ru-RU"/>
        </w:rPr>
      </w:pP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Принят</w:t>
      </w:r>
      <w:proofErr w:type="gramEnd"/>
    </w:p>
    <w:p w:rsidR="00346FE3" w:rsidRPr="00346FE3" w:rsidRDefault="00346FE3" w:rsidP="00346FE3">
      <w:pPr>
        <w:spacing w:before="240" w:after="240" w:line="273" w:lineRule="atLeast"/>
        <w:ind w:left="0" w:firstLine="0"/>
        <w:jc w:val="righ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Законодательным Собранием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righ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2 ноября 2000 года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Преамбула утратила силу. - </w:t>
      </w:r>
      <w:hyperlink r:id="rId8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Статьи 1 - 2. Утратили силу. - </w:t>
      </w:r>
      <w:hyperlink r:id="rId9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3. Правовая основа социального партнерства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(в ред. </w:t>
      </w:r>
      <w:hyperlink r:id="rId10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Правовую основу социального партнерства в Ивановской области составляют: трудовое законодательство, состоящее из Трудового </w:t>
      </w:r>
      <w:hyperlink r:id="rId11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кодекса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Российской Федерации, иных федеральных законов и законов Ивановской области, содержащих нормы трудового права, иные нормативные правовые акты, содержащие нормы трудового права.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Статьи 4 - 5. Утратили силу. - </w:t>
      </w:r>
      <w:hyperlink r:id="rId12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6. Уровни социального партнерства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lastRenderedPageBreak/>
        <w:t>(в ред. </w:t>
      </w:r>
      <w:hyperlink r:id="rId13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Социальное партнерство в Ивановской области осуществляется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на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>: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областном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уровне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>, на котором устанавливаются основы регулирования отношений в сфере труда в Ивановской области;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отраслевом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уровне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>, на котором устанавливаются основы регулирования отношений в сфере труда в отрасли (отраслях);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территориальном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уровне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>, на котором устанавливаются основы регулирования отношений в сфере труда в муниципальном образовании Ивановской области;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локальном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уровне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>, на котором устанавливаются обязательства работников и работодателя в сфере труда.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7. Виды соглашений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(в ред. </w:t>
      </w:r>
      <w:hyperlink r:id="rId14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1. В зависимости от сферы регулируемых социально-трудовых отношений могут заключаться соглашения: межрегиональное, областное, отраслевое (межотраслевое), территориальное и иные соглашения.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2. Межрегиональное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Ивановской области и других субъектов Российской Федерации.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3. Областное соглашение устанавливает общие принципы регулирования социально-трудовых отношений и связанных с ними экономических отношений на уровне Ивановской области.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4. Отраслевое (межотраслевое) соглашение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устанавливает общие условия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 оплаты труда, гарантии, компенсации и льготы работникам отрасли (отраслей).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5. Территориальное соглашение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устанавливает общие условия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 труда, гарантии, компенсации и льготы работникам на территории соответствующего муниципального образования Ивановской области.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6. 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8. Комиссии по регулированию социально-трудовых отношений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lastRenderedPageBreak/>
        <w:t>(в ред. </w:t>
      </w:r>
      <w:hyperlink r:id="rId15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1. 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контроля за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2. В Ивановской области образуется областная трехсторонняя комиссия по регулированию социально-трудовых отношений, деятельность которой осуществляется в соответствии с </w:t>
      </w:r>
      <w:hyperlink r:id="rId16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3. На территориальном уровне могут образовываться трехсторонние комиссии по регулированию социально-трудовых отношений, состоящие из полномочных представителей соответствующих профсоюзов и их объединений, работодателей и их объединений, органов местного самоуправления муниципальных образований Ивановской области. Деятельность трехсторонних комиссий по регулированию социально-трудовых отношений на территориальном уровне осуществляется в соответствии с настоящим Законом и положениями об этих комиссиях, утверждаемыми представительными органами муниципальных образований Ивановской области.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4. На отраслевом (межотраслевом) уровне могут образовываться отраслевые (межотраслевые) комиссии по регулированию социально-трудовых отношений.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5.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9. Получение и распространение информации по социально-трудовым вопросам и связанным с ними экономическим вопросам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(в ред. </w:t>
      </w:r>
      <w:hyperlink r:id="rId17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1. Стороны социального партнерства, их представители вправе получать полную и достоверную информацию по социально-трудовым вопросам и связанным с ними экономическим вопросам по письменному запросу любой из сторон. Информация должна быть представлена не позднее одного месяца со дня получения соответствующего запроса.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2. Стороны социального партнерства, их представители имеют право при соблюдении требований, установленных законодательством Российской Федерации, на распространение информации по социально-трудовым вопросам и связанным с ними экономическим вопросам через средства массовой информации Ивановской области.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10. Выполнение коллективных договоров, соглашений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lastRenderedPageBreak/>
        <w:t>(в ред. </w:t>
      </w:r>
      <w:hyperlink r:id="rId18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Стороны социального партнерства обязаны выполнять решения по вопросам, включенным в коллективные договоры, соглашения, разрабатывать планы и принимать конкретные решения, направленные на своевременное выполнение достигнутых договоренностей.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11. Урегулирование разногласий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(в ред. </w:t>
      </w:r>
      <w:hyperlink r:id="rId19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Закона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1. Стороны социального партнерства, их представители обязаны использовать все предусмотренные законодательством Российской Федерации возможности для урегулирования разногласий, возникающих в ходе ведения коллективных переговоров по заключению или изменению коллективного договора, соглашения.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2. Урегулирование разногласий, возникших в ходе коллективных переговоров по заключению или изменению коллективного договора, соглашения, производится в порядке, установленном </w:t>
      </w:r>
      <w:proofErr w:type="spell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Трудовым</w:t>
      </w:r>
      <w:hyperlink r:id="rId20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кодексом</w:t>
        </w:r>
        <w:proofErr w:type="spellEnd"/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Российской Федерации.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Статьи 12 - 13. Утратили силу. - </w:t>
      </w:r>
      <w:hyperlink r:id="rId21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14. Порядок присоединения к соглашению и особенности действия соглашений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Работодатель по согласованию с представителями работников организации вправе присоединиться к соглашению, в подготовке и заключении которого он не участвовал. Присоединяющиеся к соглашению добровольно принимают на себя обязательства по обеспечению выполнения в полном объеме условий соглашения. Решение о присоединении к соглашению доводится до сведения работников организации.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Действие областного трехстороннего соглашения распространяется на все организации области, если работодатель совместно с представителями работников письменно не заявил в орган по труду исполнительной власти области о своем </w:t>
      </w:r>
      <w:proofErr w:type="gramStart"/>
      <w:r w:rsidRPr="00346FE3">
        <w:rPr>
          <w:rFonts w:ascii="Times" w:eastAsia="Times New Roman" w:hAnsi="Times" w:cs="Times"/>
          <w:sz w:val="21"/>
          <w:szCs w:val="21"/>
          <w:lang w:eastAsia="ru-RU"/>
        </w:rPr>
        <w:t>несогласии</w:t>
      </w:r>
      <w:proofErr w:type="gramEnd"/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 о присоединении к нему в тридцатидневный срок со дня его опубликования в "Собрании законодательства Ивановской области".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Руководители сторон, подписавшие отраслевое тарифное, профессиональное тарифное и иное соглашение, обязаны предложить работодателям и работникам организаций соответствующей отрасли присоединиться к данному соглашению.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 xml:space="preserve">Если работодатели и представители работников в течение 30 календарных дней с момента получения предложения письменно не заявили о своем несогласии присоединиться к нему, соглашение </w:t>
      </w:r>
      <w:r w:rsidRPr="00346FE3">
        <w:rPr>
          <w:rFonts w:ascii="Times" w:eastAsia="Times New Roman" w:hAnsi="Times" w:cs="Times"/>
          <w:sz w:val="21"/>
          <w:szCs w:val="21"/>
          <w:lang w:eastAsia="ru-RU"/>
        </w:rPr>
        <w:lastRenderedPageBreak/>
        <w:t>считается распространенным на данных работодателей и работников с момента получения предложения.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В тех случаях, когда на работников в установленном порядке одновременно распространяется действие нескольких соглашений, действуют наиболее благоприятные для них условия соглашений.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(часть пятая введена </w:t>
      </w:r>
      <w:hyperlink r:id="rId22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20.05.2004 N 53-ОЗ)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15. Вступление настоящего Закона в силу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540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Статья 16. Утратила силу. - </w:t>
      </w:r>
      <w:hyperlink r:id="rId23" w:history="1">
        <w:r w:rsidRPr="00346FE3">
          <w:rPr>
            <w:rFonts w:ascii="Times" w:eastAsia="Times New Roman" w:hAnsi="Times" w:cs="Times"/>
            <w:color w:val="0000FF"/>
            <w:sz w:val="21"/>
            <w:szCs w:val="21"/>
            <w:bdr w:val="none" w:sz="0" w:space="0" w:color="auto" w:frame="1"/>
            <w:lang w:eastAsia="ru-RU"/>
          </w:rPr>
          <w:t>Закон</w:t>
        </w:r>
      </w:hyperlink>
      <w:r w:rsidRPr="00346FE3">
        <w:rPr>
          <w:rFonts w:ascii="Times" w:eastAsia="Times New Roman" w:hAnsi="Times" w:cs="Times"/>
          <w:sz w:val="21"/>
          <w:szCs w:val="21"/>
          <w:lang w:eastAsia="ru-RU"/>
        </w:rPr>
        <w:t> Ивановской области от 29.12.2010 N 160-ОЗ.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righ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Глава администрации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righ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Ивановской области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righ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В.ТИХОМИРОВ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г. Иваново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4 декабря 2000 года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N 75-ОЗ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"/>
          <w:szCs w:val="2"/>
          <w:lang w:eastAsia="ru-RU"/>
        </w:rPr>
        <w:t> </w:t>
      </w:r>
    </w:p>
    <w:p w:rsidR="00346FE3" w:rsidRPr="00346FE3" w:rsidRDefault="00346FE3" w:rsidP="00346FE3">
      <w:pPr>
        <w:spacing w:before="240" w:after="240" w:line="273" w:lineRule="atLeast"/>
        <w:ind w:left="0" w:firstLine="0"/>
        <w:jc w:val="left"/>
        <w:rPr>
          <w:rFonts w:ascii="Times" w:eastAsia="Times New Roman" w:hAnsi="Times" w:cs="Times"/>
          <w:sz w:val="21"/>
          <w:szCs w:val="21"/>
          <w:lang w:eastAsia="ru-RU"/>
        </w:rPr>
      </w:pPr>
      <w:r w:rsidRPr="00346FE3">
        <w:rPr>
          <w:rFonts w:ascii="Times" w:eastAsia="Times New Roman" w:hAnsi="Times" w:cs="Times"/>
          <w:sz w:val="21"/>
          <w:szCs w:val="21"/>
          <w:lang w:eastAsia="ru-RU"/>
        </w:rPr>
        <w:t> </w:t>
      </w:r>
    </w:p>
    <w:p w:rsidR="00710B4E" w:rsidRDefault="00710B4E">
      <w:bookmarkStart w:id="0" w:name="_GoBack"/>
      <w:bookmarkEnd w:id="0"/>
    </w:p>
    <w:sectPr w:rsidR="007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E3"/>
    <w:rsid w:val="00346FE3"/>
    <w:rsid w:val="00443AEB"/>
    <w:rsid w:val="00710B4E"/>
    <w:rsid w:val="009C2E17"/>
    <w:rsid w:val="00C344E9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46FE3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346FE3"/>
  </w:style>
  <w:style w:type="character" w:styleId="a3">
    <w:name w:val="Hyperlink"/>
    <w:basedOn w:val="a0"/>
    <w:uiPriority w:val="99"/>
    <w:semiHidden/>
    <w:unhideWhenUsed/>
    <w:rsid w:val="00346FE3"/>
    <w:rPr>
      <w:color w:val="0000FF"/>
      <w:u w:val="single"/>
    </w:rPr>
  </w:style>
  <w:style w:type="paragraph" w:customStyle="1" w:styleId="consplusnonformat">
    <w:name w:val="consplusnonformat"/>
    <w:basedOn w:val="a"/>
    <w:rsid w:val="00346FE3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46FE3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346FE3"/>
  </w:style>
  <w:style w:type="character" w:styleId="a3">
    <w:name w:val="Hyperlink"/>
    <w:basedOn w:val="a0"/>
    <w:uiPriority w:val="99"/>
    <w:semiHidden/>
    <w:unhideWhenUsed/>
    <w:rsid w:val="00346FE3"/>
    <w:rPr>
      <w:color w:val="0000FF"/>
      <w:u w:val="single"/>
    </w:rPr>
  </w:style>
  <w:style w:type="paragraph" w:customStyle="1" w:styleId="consplusnonformat">
    <w:name w:val="consplusnonformat"/>
    <w:basedOn w:val="a"/>
    <w:rsid w:val="00346FE3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94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9479C1E38F9C36BE04B0E4727D1A5990672A9295B6F776DAD2A130142DD87E62985B69E00F645D6033pCYDM" TargetMode="External"/><Relationship Id="rId13" Type="http://schemas.openxmlformats.org/officeDocument/2006/relationships/hyperlink" Target="consultantplus://offline/ref=956A9479C1E38F9C36BE04B0E4727D1A5990672A9295B6F776DAD2A130142DD87E62985B69E00F645D6032pCY0M" TargetMode="External"/><Relationship Id="rId18" Type="http://schemas.openxmlformats.org/officeDocument/2006/relationships/hyperlink" Target="consultantplus://offline/ref=956A9479C1E38F9C36BE04B0E4727D1A5990672A9295B6F776DAD2A130142DD87E62985B69E00F645D6030pCY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6A9479C1E38F9C36BE04B0E4727D1A5990672A9295B6F776DAD2A130142DD87E62985B69E00F645D6037pCY6M" TargetMode="External"/><Relationship Id="rId7" Type="http://schemas.openxmlformats.org/officeDocument/2006/relationships/hyperlink" Target="consultantplus://offline/ref=956A9479C1E38F9C36BE04B0E4727D1A5990672A9295B6F776DAD2A130142DD87E62985B69E00F645D6033pCYCM" TargetMode="External"/><Relationship Id="rId12" Type="http://schemas.openxmlformats.org/officeDocument/2006/relationships/hyperlink" Target="consultantplus://offline/ref=956A9479C1E38F9C36BE04B0E4727D1A5990672A9295B6F776DAD2A130142DD87E62985B69E00F645D6032pCY7M" TargetMode="External"/><Relationship Id="rId17" Type="http://schemas.openxmlformats.org/officeDocument/2006/relationships/hyperlink" Target="consultantplus://offline/ref=956A9479C1E38F9C36BE04B0E4727D1A5990672A9295B6F776DAD2A130142DD87E62985B69E00F645D6030pCY0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6A9479C1E38F9C36BE04B0E4727D1A5990672A9394B7F775DAD2A130142DD8p7YEM" TargetMode="External"/><Relationship Id="rId20" Type="http://schemas.openxmlformats.org/officeDocument/2006/relationships/hyperlink" Target="consultantplus://offline/ref=956A9479C1E38F9C36BE1ABDF21E21155C993B279390B5A42F8589FC671D278F392DC1192DED0C6Dp5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9479C1E38F9C36BE04B0E4727D1A5990672A9691B8F477DAD2A130142DD87E62985B69E00F645D6033pCYCM" TargetMode="External"/><Relationship Id="rId11" Type="http://schemas.openxmlformats.org/officeDocument/2006/relationships/hyperlink" Target="consultantplus://offline/ref=956A9479C1E38F9C36BE1ABDF21E21155C993B279390B5A42F8589FC671D278F392DC11A2FpEY9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56A9479C1E38F9C36BE04B0E4727D1A5990672A9496BEF170DAD2A130142DD87E62985B69E00F645D6037pCY7M" TargetMode="External"/><Relationship Id="rId15" Type="http://schemas.openxmlformats.org/officeDocument/2006/relationships/hyperlink" Target="consultantplus://offline/ref=956A9479C1E38F9C36BE04B0E4727D1A5990672A9295B6F776DAD2A130142DD87E62985B69E00F645D6031pCYCM" TargetMode="External"/><Relationship Id="rId23" Type="http://schemas.openxmlformats.org/officeDocument/2006/relationships/hyperlink" Target="consultantplus://offline/ref=956A9479C1E38F9C36BE04B0E4727D1A5990672A9295B6F776DAD2A130142DD87E62985B69E00F645D6037pCY6M" TargetMode="External"/><Relationship Id="rId10" Type="http://schemas.openxmlformats.org/officeDocument/2006/relationships/hyperlink" Target="consultantplus://offline/ref=956A9479C1E38F9C36BE04B0E4727D1A5990672A9295B6F776DAD2A130142DD87E62985B69E00F645D6032pCY4M" TargetMode="External"/><Relationship Id="rId19" Type="http://schemas.openxmlformats.org/officeDocument/2006/relationships/hyperlink" Target="consultantplus://offline/ref=956A9479C1E38F9C36BE04B0E4727D1A5990672A9295B6F776DAD2A130142DD87E62985B69E00F645D6030pCY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9479C1E38F9C36BE04B0E4727D1A5990672A9295B6F776DAD2A130142DD87E62985B69E00F645D6033pCYDM" TargetMode="External"/><Relationship Id="rId14" Type="http://schemas.openxmlformats.org/officeDocument/2006/relationships/hyperlink" Target="consultantplus://offline/ref=956A9479C1E38F9C36BE04B0E4727D1A5990672A9295B6F776DAD2A130142DD87E62985B69E00F645D6031pCY5M" TargetMode="External"/><Relationship Id="rId22" Type="http://schemas.openxmlformats.org/officeDocument/2006/relationships/hyperlink" Target="consultantplus://offline/ref=956A9479C1E38F9C36BE04B0E4727D1A5990672A9691B8F477DAD2A130142DD87E62985B69E00F645D6036pC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2014-11-27T06:57:00Z</dcterms:created>
  <dcterms:modified xsi:type="dcterms:W3CDTF">2014-11-27T07:44:00Z</dcterms:modified>
</cp:coreProperties>
</file>