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ИВАНОВСКАЯ ОБЛАСТЬ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АДМИНИСТРАЦИЯ ЮЖСКОГО МУНИЦИПАЛЬНОГО РАЙОНА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ПОСТАНОВЛЕНИЕ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от 21 апреля 2014 г. N 271-п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ОБ УТВЕРЖДЕНИИ ПОЛОЖЕНИЯ О НЕНОРМИРОВАННОМ РАБОЧЕМ ДНЕ,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ПОРЯДКА И УСЛОВИЙ ПРЕДОСТАВЛЕНИЯ ЕЖЕГОДНОГО ДОПОЛНИТЕЛЬНОГО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ОПЛАЧИВАЕМОГО ОТПУСКА РАБОТНИКАМ С НЕНОРМИРОВАННЫМ РАБОЧИМ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ДНЕМ В МУНИЦИПАЛЬНЫХ УЧРЕЖДЕНИЯХ, НЕ ЯВЛЯЮЩИХСЯ ОТРАСЛЕВЫМИ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(ФУНКЦИОНАЛЬНЫМИ) ОРГАНАМИ АДМИНИСТРАЦИИ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ЮЖСКОГО МУНИЦИПАЛЬНОГО РАЙОНА,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proofErr w:type="gramStart"/>
      <w:r w:rsidRPr="00DA151F">
        <w:rPr>
          <w:rFonts w:eastAsia="Times New Roman"/>
          <w:color w:val="auto"/>
          <w:lang w:eastAsia="ru-RU"/>
        </w:rPr>
        <w:t>ФИНАНСИРУЕМЫХ</w:t>
      </w:r>
      <w:proofErr w:type="gramEnd"/>
      <w:r w:rsidRPr="00DA151F">
        <w:rPr>
          <w:rFonts w:eastAsia="Times New Roman"/>
          <w:color w:val="auto"/>
          <w:lang w:eastAsia="ru-RU"/>
        </w:rPr>
        <w:t xml:space="preserve"> ЗА СЧЕТ МЕСТНОГО БЮДЖЕТА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Руководствуясь ст. 97, 101, 116, 119, 153 Трудового кодекса Российской Федерации, учитывая письмо Федеральной службы по труду и занятости от 07.06.2008 N 1316-6-1, Администрация </w:t>
      </w:r>
      <w:proofErr w:type="spellStart"/>
      <w:r w:rsidRPr="00DA151F">
        <w:rPr>
          <w:rFonts w:eastAsia="Times New Roman"/>
          <w:color w:val="auto"/>
          <w:lang w:eastAsia="ru-RU"/>
        </w:rPr>
        <w:t>Южского</w:t>
      </w:r>
      <w:proofErr w:type="spellEnd"/>
      <w:r w:rsidRPr="00DA151F">
        <w:rPr>
          <w:rFonts w:eastAsia="Times New Roman"/>
          <w:color w:val="auto"/>
          <w:lang w:eastAsia="ru-RU"/>
        </w:rPr>
        <w:t xml:space="preserve"> муниципального района постановляет: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1. </w:t>
      </w:r>
      <w:proofErr w:type="gramStart"/>
      <w:r w:rsidRPr="00DA151F">
        <w:rPr>
          <w:rFonts w:eastAsia="Times New Roman"/>
          <w:color w:val="auto"/>
          <w:lang w:eastAsia="ru-RU"/>
        </w:rPr>
        <w:t xml:space="preserve">Утвердить Положение о ненормированном рабочем дне,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учреждениях, не являющихся отраслевыми (функциональными) органами Администрации </w:t>
      </w:r>
      <w:proofErr w:type="spellStart"/>
      <w:r w:rsidRPr="00DA151F">
        <w:rPr>
          <w:rFonts w:eastAsia="Times New Roman"/>
          <w:color w:val="auto"/>
          <w:lang w:eastAsia="ru-RU"/>
        </w:rPr>
        <w:t>Южского</w:t>
      </w:r>
      <w:proofErr w:type="spellEnd"/>
      <w:r w:rsidRPr="00DA151F">
        <w:rPr>
          <w:rFonts w:eastAsia="Times New Roman"/>
          <w:color w:val="auto"/>
          <w:lang w:eastAsia="ru-RU"/>
        </w:rPr>
        <w:t xml:space="preserve"> муниципального района, финансируемых за счет местного бюджета (прилагаются).</w:t>
      </w:r>
      <w:proofErr w:type="gramEnd"/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2. Установить, что перечень должностей с ненормированным рабочим днем устанавливается локальными актами учреждений, указанных в пункте 1 настоящего постановления. Рекомендовать руководителям муниципальных учреждений оформлять вышеуказанный перечень как приложение к правилам внутреннего трудового распорядка учреждений.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3. Опубликовать настоящее постановление в официальном издании "Правовой Вестник </w:t>
      </w:r>
      <w:proofErr w:type="spellStart"/>
      <w:r w:rsidRPr="00DA151F">
        <w:rPr>
          <w:rFonts w:eastAsia="Times New Roman"/>
          <w:color w:val="auto"/>
          <w:lang w:eastAsia="ru-RU"/>
        </w:rPr>
        <w:t>Южского</w:t>
      </w:r>
      <w:proofErr w:type="spellEnd"/>
      <w:r w:rsidRPr="00DA151F">
        <w:rPr>
          <w:rFonts w:eastAsia="Times New Roman"/>
          <w:color w:val="auto"/>
          <w:lang w:eastAsia="ru-RU"/>
        </w:rPr>
        <w:t xml:space="preserve"> </w:t>
      </w:r>
      <w:proofErr w:type="gramStart"/>
      <w:r w:rsidRPr="00DA151F">
        <w:rPr>
          <w:rFonts w:eastAsia="Times New Roman"/>
          <w:color w:val="auto"/>
          <w:lang w:eastAsia="ru-RU"/>
        </w:rPr>
        <w:t>муниципального</w:t>
      </w:r>
      <w:proofErr w:type="gramEnd"/>
      <w:r w:rsidRPr="00DA151F">
        <w:rPr>
          <w:rFonts w:eastAsia="Times New Roman"/>
          <w:color w:val="auto"/>
          <w:lang w:eastAsia="ru-RU"/>
        </w:rPr>
        <w:t xml:space="preserve"> района".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Глава Администрации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proofErr w:type="spellStart"/>
      <w:r w:rsidRPr="00DA151F">
        <w:rPr>
          <w:rFonts w:eastAsia="Times New Roman"/>
          <w:color w:val="auto"/>
          <w:lang w:eastAsia="ru-RU"/>
        </w:rPr>
        <w:t>Южского</w:t>
      </w:r>
      <w:proofErr w:type="spellEnd"/>
      <w:r w:rsidRPr="00DA151F">
        <w:rPr>
          <w:rFonts w:eastAsia="Times New Roman"/>
          <w:color w:val="auto"/>
          <w:lang w:eastAsia="ru-RU"/>
        </w:rPr>
        <w:t xml:space="preserve"> муниципального района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С.Ю.КРОПОТОВ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Приложение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к постановлению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Администрации </w:t>
      </w:r>
      <w:proofErr w:type="spellStart"/>
      <w:r w:rsidRPr="00DA151F">
        <w:rPr>
          <w:rFonts w:eastAsia="Times New Roman"/>
          <w:color w:val="auto"/>
          <w:lang w:eastAsia="ru-RU"/>
        </w:rPr>
        <w:t>Южского</w:t>
      </w:r>
      <w:proofErr w:type="spellEnd"/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муниципального района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от 21.04.2014 N 271-п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ПОЛОЖЕНИЕ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О НЕНОРМИРОВАННОМ РАБОЧЕМ ДНЕ, ПОРЯДОК И УСЛОВИЯ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ПРЕДОСТАВЛЕНИЯ ЕЖЕГОДНОГО ДОПОЛНИТЕЛЬНОГО ОПЛАЧИВАЕМОГО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ОТПУСКА РАБОТНИКАМ С НЕНОРМИРОВАННЫМ РАБОЧИМ ДНЕМ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В МУНИЦИПАЛЬНЫХ УЧРЕЖДЕНИЯХ, НЕ ЯВЛЯЮЩИХСЯ ОТРАСЛЕВЫМИ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lastRenderedPageBreak/>
        <w:t>(ФУНКЦИОНАЛЬНЫМИ) ОРГАНАМИ АДМИНИСТРАЦИИ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ЮЖСКОГО МУНИЦИПАЛЬНОГО РАЙОНА,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proofErr w:type="gramStart"/>
      <w:r w:rsidRPr="00DA151F">
        <w:rPr>
          <w:rFonts w:eastAsia="Times New Roman"/>
          <w:color w:val="auto"/>
          <w:lang w:eastAsia="ru-RU"/>
        </w:rPr>
        <w:t>ФИНАНСИРУЕМЫХ</w:t>
      </w:r>
      <w:proofErr w:type="gramEnd"/>
      <w:r w:rsidRPr="00DA151F">
        <w:rPr>
          <w:rFonts w:eastAsia="Times New Roman"/>
          <w:color w:val="auto"/>
          <w:lang w:eastAsia="ru-RU"/>
        </w:rPr>
        <w:t xml:space="preserve"> ЗА СЧЕТ МЕСТНОГО БЮДЖЕТА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1. Общие положения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1.1. </w:t>
      </w:r>
      <w:proofErr w:type="gramStart"/>
      <w:r w:rsidRPr="00DA151F">
        <w:rPr>
          <w:rFonts w:eastAsia="Times New Roman"/>
          <w:color w:val="auto"/>
          <w:lang w:eastAsia="ru-RU"/>
        </w:rPr>
        <w:t xml:space="preserve">Настоящее Положение в соответствии с действующим законодательством (статьями 97, 101, 116, 119, 126 ТК РФ) устанавливает порядок привлечения работников муниципальных учреждений, не являющихся отраслевыми (функциональными) органами Администрации </w:t>
      </w:r>
      <w:proofErr w:type="spellStart"/>
      <w:r w:rsidRPr="00DA151F">
        <w:rPr>
          <w:rFonts w:eastAsia="Times New Roman"/>
          <w:color w:val="auto"/>
          <w:lang w:eastAsia="ru-RU"/>
        </w:rPr>
        <w:t>Южского</w:t>
      </w:r>
      <w:proofErr w:type="spellEnd"/>
      <w:r w:rsidRPr="00DA151F">
        <w:rPr>
          <w:rFonts w:eastAsia="Times New Roman"/>
          <w:color w:val="auto"/>
          <w:lang w:eastAsia="ru-RU"/>
        </w:rPr>
        <w:t xml:space="preserve"> муниципального района, финансируемых за счет местного бюджета (далее - работников муниципальных учреждений), с ненормированным рабочим днем к работе за пределами нормальной продолжительности рабочего времени.</w:t>
      </w:r>
      <w:proofErr w:type="gramEnd"/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2. Установление, привлечение и учет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ненормированного рабочего времени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2.1. В соответствии со статьей 101 ТК РФ ненормированный рабочий день - особый режим работы, в соответствии с которым отдельные работники могут по распоряжению работодателя (в том числе и устному) при необходимости эпизодически привлекаться к выполнению своих трудовых функций за </w:t>
      </w:r>
      <w:proofErr w:type="gramStart"/>
      <w:r w:rsidRPr="00DA151F">
        <w:rPr>
          <w:rFonts w:eastAsia="Times New Roman"/>
          <w:color w:val="auto"/>
          <w:lang w:eastAsia="ru-RU"/>
        </w:rPr>
        <w:t>пределами</w:t>
      </w:r>
      <w:proofErr w:type="gramEnd"/>
      <w:r w:rsidRPr="00DA151F">
        <w:rPr>
          <w:rFonts w:eastAsia="Times New Roman"/>
          <w:color w:val="auto"/>
          <w:lang w:eastAsia="ru-RU"/>
        </w:rPr>
        <w:t xml:space="preserve"> установленной для них продолжительности рабочего времени.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2.2. Выполнение работником работы за пределами нормальной продолжительности рабочего времени у работников с ненормированным рабочим днем не является сверхурочной работой.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b/>
          <w:color w:val="auto"/>
          <w:sz w:val="28"/>
          <w:szCs w:val="28"/>
          <w:lang w:eastAsia="ru-RU"/>
        </w:rPr>
      </w:pPr>
      <w:r w:rsidRPr="00DA151F">
        <w:rPr>
          <w:rFonts w:eastAsia="Times New Roman"/>
          <w:b/>
          <w:color w:val="auto"/>
          <w:sz w:val="28"/>
          <w:szCs w:val="28"/>
          <w:lang w:eastAsia="ru-RU"/>
        </w:rPr>
        <w:t xml:space="preserve">2.3. </w:t>
      </w:r>
      <w:proofErr w:type="gramStart"/>
      <w:r w:rsidRPr="00DA151F">
        <w:rPr>
          <w:rFonts w:eastAsia="Times New Roman"/>
          <w:b/>
          <w:color w:val="auto"/>
          <w:sz w:val="28"/>
          <w:szCs w:val="28"/>
          <w:lang w:eastAsia="ru-RU"/>
        </w:rPr>
        <w:t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  <w:proofErr w:type="gramEnd"/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2.4. Режим ненормированного рабочего дня работника устанавливается путем </w:t>
      </w:r>
      <w:bookmarkStart w:id="0" w:name="_GoBack"/>
      <w:bookmarkEnd w:id="0"/>
      <w:r w:rsidRPr="00DA151F">
        <w:rPr>
          <w:rFonts w:eastAsia="Times New Roman"/>
          <w:color w:val="auto"/>
          <w:lang w:eastAsia="ru-RU"/>
        </w:rPr>
        <w:t>заключения с ним дополнительного соглашения к трудовому договору с описанием условий труда, гарантий и компенсаций, связанных с работой в условиях ненормированного рабочего дня. Если работник не согласен на изменение условий трудового договора в порядке ст. 72 ТК РФ (по соглашению сторон), то его изменение в одностороннем порядке производится по правилам ст. 74 ТК РФ с обязательным письменным уведомлением работника за два месяца до введения изменений.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2.5. На работников с ненормированным рабочим днем распространяется порядок рабочего дня: время начала и окончания работы, время перерывов для отдыха и приема пищи, а также правила учета рабочего времени, установленные в учреждении.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2.6. Работники указанной категории на общих основаниях освобождаются от работы в дни еженедельного отдыха и праздничные дни. Привлечение работников, которым установлен ненормированный рабочий день, к работе в их выходные и нерабочие праздничные дни, а также в ночное время (с 22 часов до 6 часов) должно осуществляться с применением положений ст. 113, 153, 154 ТК РФ.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2.7. Привлечение работников, которым установлен ненормированный рабочий день, к работе за </w:t>
      </w:r>
      <w:proofErr w:type="gramStart"/>
      <w:r w:rsidRPr="00DA151F">
        <w:rPr>
          <w:rFonts w:eastAsia="Times New Roman"/>
          <w:color w:val="auto"/>
          <w:lang w:eastAsia="ru-RU"/>
        </w:rPr>
        <w:t>пределами</w:t>
      </w:r>
      <w:proofErr w:type="gramEnd"/>
      <w:r w:rsidRPr="00DA151F">
        <w:rPr>
          <w:rFonts w:eastAsia="Times New Roman"/>
          <w:color w:val="auto"/>
          <w:lang w:eastAsia="ru-RU"/>
        </w:rPr>
        <w:t xml:space="preserve"> установленной для них продолжительности рабочего времени не должно носить систематического характера, а происходить время от времени (эпизодически), в случае возникновения необходимости. Конкретные случаи привлечения работников к такой работе устанавливаются должностными инструкциями.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lastRenderedPageBreak/>
        <w:t>2.8. Не допускается привлечение работника с ненормированным рабочим днем к работе сверх нормальной продолжительности рабочего времени, не обусловленной его трудовой функцией, указанной в трудовом договоре.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2.9. В табеле учета рабочего времени для работников, работающих в режиме ненормированного рабочего времени, проставляется ежедневно 8 часов без учета времени переработки. Время переработки обязательно учитывается с использованием "Журнала учета" установленной формы (Приложение 1 - не приводится).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3. Правила предоставления ежегодного дополнительного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оплачиваемого отпуска работникам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с ненормированным рабочим днем</w:t>
      </w:r>
    </w:p>
    <w:p w:rsidR="00DA151F" w:rsidRPr="00DA151F" w:rsidRDefault="00DA151F" w:rsidP="00DA151F">
      <w:pPr>
        <w:ind w:left="0" w:firstLine="0"/>
        <w:jc w:val="left"/>
        <w:rPr>
          <w:rFonts w:eastAsia="Times New Roman"/>
          <w:color w:val="auto"/>
          <w:lang w:eastAsia="ru-RU"/>
        </w:rPr>
      </w:pP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3.1. Работа в режиме ненормированного рабочего дня компенсируется предоставлением ежегодного дополнительного оплачиваемого отпуска. Продолжительность отпуска для руководителей муниципальных учреждений устанавливается распоряжением Администрации </w:t>
      </w:r>
      <w:proofErr w:type="spellStart"/>
      <w:r w:rsidRPr="00DA151F">
        <w:rPr>
          <w:rFonts w:eastAsia="Times New Roman"/>
          <w:color w:val="auto"/>
          <w:lang w:eastAsia="ru-RU"/>
        </w:rPr>
        <w:t>Южского</w:t>
      </w:r>
      <w:proofErr w:type="spellEnd"/>
      <w:r w:rsidRPr="00DA151F">
        <w:rPr>
          <w:rFonts w:eastAsia="Times New Roman"/>
          <w:color w:val="auto"/>
          <w:lang w:eastAsia="ru-RU"/>
        </w:rPr>
        <w:t xml:space="preserve"> муниципального района, для работников муниципальных учреждений - правилами внутреннего трудового распорядка учреждения с учетом финансовых возможностей учреждения, не менее трех и не более пяти дней.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 xml:space="preserve">3.2. Право на дополнительный оплачиваемый отпуск возникает у работника независимо от фактической продолжительности привлечения его к работе за </w:t>
      </w:r>
      <w:proofErr w:type="gramStart"/>
      <w:r w:rsidRPr="00DA151F">
        <w:rPr>
          <w:rFonts w:eastAsia="Times New Roman"/>
          <w:color w:val="auto"/>
          <w:lang w:eastAsia="ru-RU"/>
        </w:rPr>
        <w:t>пределами</w:t>
      </w:r>
      <w:proofErr w:type="gramEnd"/>
      <w:r w:rsidRPr="00DA151F">
        <w:rPr>
          <w:rFonts w:eastAsia="Times New Roman"/>
          <w:color w:val="auto"/>
          <w:lang w:eastAsia="ru-RU"/>
        </w:rPr>
        <w:t xml:space="preserve"> установленной для него продолжительности рабочего дня.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3.3. Ежегодный дополнительный оплачиваемый отпуск предоставляется работникам как отдельно от основного ежегодного отпуска, так и путем присоединения к нему. Дополнительный оплачиваемый отпуск предоставляется в соответствии с графиком отпусков и может быть разделен на части по усмотрению работника (ст. 125 ТК РФ), перенесен (ст. 124 ТК РФ), заменен денежной компенсацией (ст. 126 ТК РФ).</w:t>
      </w:r>
    </w:p>
    <w:p w:rsidR="00DA151F" w:rsidRPr="00DA151F" w:rsidRDefault="00DA151F" w:rsidP="00DA151F">
      <w:pPr>
        <w:ind w:left="0" w:firstLine="547"/>
        <w:jc w:val="left"/>
        <w:rPr>
          <w:rFonts w:eastAsia="Times New Roman"/>
          <w:color w:val="auto"/>
          <w:lang w:eastAsia="ru-RU"/>
        </w:rPr>
      </w:pPr>
      <w:r w:rsidRPr="00DA151F">
        <w:rPr>
          <w:rFonts w:eastAsia="Times New Roman"/>
          <w:color w:val="auto"/>
          <w:lang w:eastAsia="ru-RU"/>
        </w:rPr>
        <w:t>3.4. При увольнении право на неиспользованный ежегодный дополнительный оплачиваемый отпуск за ненормированный рабочий день реализуется в порядке, установленном ст. 127 ТК РФ.</w:t>
      </w:r>
    </w:p>
    <w:p w:rsidR="00710B4E" w:rsidRDefault="00710B4E"/>
    <w:sectPr w:rsidR="0071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1F"/>
    <w:rsid w:val="00710B4E"/>
    <w:rsid w:val="009C2E17"/>
    <w:rsid w:val="00C344E9"/>
    <w:rsid w:val="00D25036"/>
    <w:rsid w:val="00DA151F"/>
    <w:rsid w:val="00E8724A"/>
    <w:rsid w:val="00F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A151F"/>
  </w:style>
  <w:style w:type="character" w:customStyle="1" w:styleId="rg">
    <w:name w:val="rg"/>
    <w:basedOn w:val="a0"/>
    <w:rsid w:val="00DA151F"/>
  </w:style>
  <w:style w:type="character" w:customStyle="1" w:styleId="r">
    <w:name w:val="r"/>
    <w:basedOn w:val="a0"/>
    <w:rsid w:val="00DA1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A151F"/>
  </w:style>
  <w:style w:type="character" w:customStyle="1" w:styleId="rg">
    <w:name w:val="rg"/>
    <w:basedOn w:val="a0"/>
    <w:rsid w:val="00DA151F"/>
  </w:style>
  <w:style w:type="character" w:customStyle="1" w:styleId="r">
    <w:name w:val="r"/>
    <w:basedOn w:val="a0"/>
    <w:rsid w:val="00DA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2014-06-03T11:37:00Z</dcterms:created>
  <dcterms:modified xsi:type="dcterms:W3CDTF">2014-06-03T11:37:00Z</dcterms:modified>
</cp:coreProperties>
</file>